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64127FEE"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w:t>
      </w:r>
      <w:r w:rsidR="00AB72C2">
        <w:rPr>
          <w:rFonts w:ascii="Arial" w:hAnsi="Arial" w:cs="Arial"/>
          <w:b/>
          <w:bCs/>
          <w:sz w:val="24"/>
          <w:szCs w:val="24"/>
        </w:rPr>
        <w:t>5</w:t>
      </w:r>
      <w:r w:rsidRPr="00774255">
        <w:rPr>
          <w:rFonts w:ascii="Arial" w:hAnsi="Arial" w:cs="Arial" w:hint="eastAsia"/>
          <w:b/>
          <w:bCs/>
          <w:sz w:val="24"/>
          <w:szCs w:val="24"/>
        </w:rPr>
        <w:t>-e</w:t>
      </w:r>
      <w:r w:rsidRPr="00774255">
        <w:rPr>
          <w:rFonts w:ascii="Arial" w:eastAsia="Times New Roman" w:hAnsi="Arial" w:cs="Arial"/>
          <w:b/>
          <w:bCs/>
          <w:sz w:val="24"/>
          <w:szCs w:val="24"/>
          <w:lang w:eastAsia="en-US"/>
        </w:rPr>
        <w:t xml:space="preserve">                                  </w:t>
      </w:r>
      <w:r w:rsidRPr="00774255">
        <w:rPr>
          <w:rFonts w:ascii="Arial" w:hAnsi="Arial" w:cs="Arial" w:hint="eastAsia"/>
          <w:b/>
          <w:bCs/>
          <w:sz w:val="24"/>
          <w:szCs w:val="24"/>
        </w:rPr>
        <w:t xml:space="preserve"> </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 xml:space="preserve"> </w:t>
      </w:r>
      <w:r w:rsidRPr="00774255">
        <w:rPr>
          <w:rFonts w:ascii="Arial" w:eastAsia="Times New Roman" w:hAnsi="Arial" w:cs="Arial"/>
          <w:b/>
          <w:bCs/>
          <w:sz w:val="24"/>
          <w:szCs w:val="24"/>
          <w:lang w:eastAsia="en-US"/>
        </w:rPr>
        <w:t xml:space="preserve"> R1-2</w:t>
      </w:r>
      <w:r w:rsidR="00967A59">
        <w:rPr>
          <w:rFonts w:ascii="Arial" w:eastAsia="Times New Roman" w:hAnsi="Arial" w:cs="Arial"/>
          <w:b/>
          <w:bCs/>
          <w:sz w:val="24"/>
          <w:szCs w:val="24"/>
          <w:lang w:eastAsia="en-US"/>
        </w:rPr>
        <w:t>1</w:t>
      </w:r>
      <w:r w:rsidRPr="00774255">
        <w:rPr>
          <w:rFonts w:ascii="Arial" w:eastAsia="Times New Roman" w:hAnsi="Arial" w:cs="Arial" w:hint="eastAsia"/>
          <w:b/>
          <w:bCs/>
          <w:sz w:val="24"/>
          <w:szCs w:val="24"/>
          <w:lang w:eastAsia="en-US"/>
        </w:rPr>
        <w:t>0</w:t>
      </w:r>
      <w:r w:rsidR="00AB72C2">
        <w:rPr>
          <w:rFonts w:ascii="Arial" w:eastAsia="Times New Roman" w:hAnsi="Arial" w:cs="Arial"/>
          <w:b/>
          <w:bCs/>
          <w:sz w:val="24"/>
          <w:szCs w:val="24"/>
          <w:lang w:eastAsia="en-US"/>
        </w:rPr>
        <w:t>4390</w:t>
      </w:r>
      <w:r w:rsidRPr="00774255">
        <w:rPr>
          <w:rFonts w:ascii="Arial" w:eastAsia="Times New Roman" w:hAnsi="Arial" w:cs="Arial"/>
          <w:b/>
          <w:bCs/>
          <w:sz w:val="24"/>
          <w:szCs w:val="24"/>
          <w:lang w:eastAsia="en-US"/>
        </w:rPr>
        <w:t xml:space="preserve">                                                                          </w:t>
      </w:r>
    </w:p>
    <w:p w14:paraId="711F7567" w14:textId="4039088D"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00AB72C2" w:rsidRPr="00AB72C2">
        <w:rPr>
          <w:rFonts w:ascii="Arial" w:eastAsia="Times New Roman" w:hAnsi="Arial" w:cs="Arial"/>
          <w:b/>
          <w:bCs/>
          <w:sz w:val="24"/>
          <w:szCs w:val="24"/>
          <w:lang w:eastAsia="en-US"/>
        </w:rPr>
        <w:t>May 10</w:t>
      </w:r>
      <w:r w:rsidR="00AB72C2" w:rsidRPr="00AB72C2">
        <w:rPr>
          <w:rFonts w:ascii="Arial" w:eastAsia="Times New Roman" w:hAnsi="Arial" w:cs="Arial"/>
          <w:b/>
          <w:bCs/>
          <w:sz w:val="24"/>
          <w:szCs w:val="24"/>
          <w:vertAlign w:val="superscript"/>
          <w:lang w:eastAsia="en-US"/>
        </w:rPr>
        <w:t>th</w:t>
      </w:r>
      <w:r w:rsidR="00AB72C2" w:rsidRPr="00AB72C2">
        <w:rPr>
          <w:rFonts w:ascii="Arial" w:eastAsia="Times New Roman" w:hAnsi="Arial" w:cs="Arial"/>
          <w:b/>
          <w:bCs/>
          <w:sz w:val="24"/>
          <w:szCs w:val="24"/>
          <w:lang w:eastAsia="en-US"/>
        </w:rPr>
        <w:t xml:space="preserve"> – 27</w:t>
      </w:r>
      <w:r w:rsidR="00AB72C2" w:rsidRPr="00AB72C2">
        <w:rPr>
          <w:rFonts w:ascii="Arial" w:eastAsia="Times New Roman" w:hAnsi="Arial" w:cs="Arial"/>
          <w:b/>
          <w:bCs/>
          <w:sz w:val="24"/>
          <w:szCs w:val="24"/>
          <w:vertAlign w:val="superscript"/>
          <w:lang w:eastAsia="en-US"/>
        </w:rPr>
        <w:t>th</w:t>
      </w:r>
      <w:r w:rsidR="00AB72C2" w:rsidRPr="00AB72C2">
        <w:rPr>
          <w:rFonts w:ascii="Arial" w:eastAsia="Times New Roman" w:hAnsi="Arial" w:cs="Arial"/>
          <w:b/>
          <w:bCs/>
          <w:sz w:val="24"/>
          <w:szCs w:val="24"/>
          <w:lang w:eastAsia="en-US"/>
        </w:rPr>
        <w:t>,</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w:t>
      </w:r>
      <w:r w:rsidR="00473CB5">
        <w:rPr>
          <w:rFonts w:ascii="Arial" w:eastAsia="Times New Roman" w:hAnsi="Arial" w:cs="Arial"/>
          <w:b/>
          <w:bCs/>
          <w:sz w:val="24"/>
          <w:szCs w:val="24"/>
          <w:lang w:eastAsia="en-US"/>
        </w:rPr>
        <w:t>1</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77777777"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1" w:name="_Hlk47345766"/>
      <w:r w:rsidRPr="00774255">
        <w:rPr>
          <w:rFonts w:ascii="Arial" w:eastAsia="Times New Roman" w:hAnsi="Arial" w:cs="Arial"/>
          <w:b/>
          <w:sz w:val="21"/>
          <w:szCs w:val="24"/>
          <w:lang w:eastAsia="en-US"/>
        </w:rPr>
        <w:t>Other issues for Rel-17 MBS</w:t>
      </w:r>
    </w:p>
    <w:bookmarkEnd w:id="1"/>
    <w:p w14:paraId="237481F7" w14:textId="77777777"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t>8.12.</w:t>
      </w:r>
      <w:r w:rsidRPr="00774255">
        <w:rPr>
          <w:rFonts w:ascii="Arial" w:eastAsia="Times New Roman" w:hAnsi="Arial" w:cs="Arial" w:hint="eastAsia"/>
          <w:b/>
          <w:sz w:val="21"/>
          <w:szCs w:val="24"/>
          <w:lang w:eastAsia="en-US"/>
        </w:rPr>
        <w:t>4</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2" w:name="_Ref165266342"/>
      <w:bookmarkEnd w:id="0"/>
      <w:r>
        <w:t>Introduction</w:t>
      </w:r>
      <w:bookmarkEnd w:id="2"/>
    </w:p>
    <w:p w14:paraId="3E4F7A37" w14:textId="730E44FF" w:rsidR="00454558" w:rsidRDefault="001A696F" w:rsidP="00977BE8">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 and the CONNECTED UE</w:t>
      </w:r>
      <w:r w:rsidR="00DB12BF">
        <w:t xml:space="preserve">. </w:t>
      </w:r>
      <w:r w:rsidR="00226163">
        <w:t xml:space="preserve">As </w:t>
      </w:r>
      <w:r w:rsidR="00D25106">
        <w:t xml:space="preserve">NACK </w:t>
      </w:r>
      <w:proofErr w:type="gramStart"/>
      <w:r w:rsidR="00D25106">
        <w:t>only</w:t>
      </w:r>
      <w:proofErr w:type="gramEnd"/>
      <w:r w:rsidR="00D25106">
        <w:t xml:space="preserve"> feedback for multicast for CONNECTED UE is support and HARQ feedback can be enable</w:t>
      </w:r>
      <w:r w:rsidR="003C77C1">
        <w:t>d</w:t>
      </w:r>
      <w:r w:rsidR="00D25106">
        <w:t>/disable</w:t>
      </w:r>
      <w:r w:rsidR="003C77C1">
        <w:t>d</w:t>
      </w:r>
      <w:r w:rsidR="00D25106">
        <w:rPr>
          <w:rFonts w:hint="eastAsia"/>
        </w:rPr>
        <w:t>,</w:t>
      </w:r>
      <w:r w:rsidR="00D25106">
        <w:t xml:space="preserve"> there may be no HARQ feedback for a given</w:t>
      </w:r>
      <w:r w:rsidR="00054F2E">
        <w:t xml:space="preserve"> HARQ process for the MBS reception.</w:t>
      </w:r>
      <w:r w:rsidR="00B66AA0">
        <w:t xml:space="preserve"> In this contribution, we provide our analysis on some of the remaining issues on supporting the HARQ operation for the MBS.</w:t>
      </w:r>
    </w:p>
    <w:p w14:paraId="6B332CC7" w14:textId="77777777" w:rsidR="00DA44DE" w:rsidRDefault="00DA44DE" w:rsidP="00DA44DE">
      <w:pPr>
        <w:pStyle w:val="1"/>
        <w:tabs>
          <w:tab w:val="left" w:pos="432"/>
        </w:tabs>
        <w:jc w:val="left"/>
      </w:pPr>
      <w:r>
        <w:rPr>
          <w:rFonts w:hint="eastAsia"/>
        </w:rPr>
        <w:t>Discussion</w:t>
      </w:r>
    </w:p>
    <w:p w14:paraId="3D93DB17" w14:textId="2CA75324" w:rsidR="00A94FFC" w:rsidRPr="00A94FFC" w:rsidRDefault="00E77BCD" w:rsidP="00647996">
      <w:pPr>
        <w:pStyle w:val="2"/>
        <w:keepLines w:val="0"/>
        <w:tabs>
          <w:tab w:val="clear" w:pos="1002"/>
          <w:tab w:val="num" w:pos="576"/>
        </w:tabs>
        <w:spacing w:line="240" w:lineRule="auto"/>
        <w:ind w:left="0" w:firstLine="0"/>
        <w:jc w:val="left"/>
        <w:rPr>
          <w:b/>
        </w:rPr>
      </w:pPr>
      <w:r>
        <w:t>PDSCH scheduling restriction</w:t>
      </w:r>
    </w:p>
    <w:p w14:paraId="2602CFB7" w14:textId="404EDA06" w:rsidR="00E77BCD" w:rsidRDefault="007D060D" w:rsidP="00CD66BD">
      <w:r>
        <w:t xml:space="preserve">According to </w:t>
      </w:r>
      <w:r w:rsidR="00E77BCD">
        <w:t>NR Rel-15/Rel-16 specification, there are some scheduling restriction for the PDSCH scheduling</w:t>
      </w:r>
      <w:r w:rsidR="003C0002">
        <w:t xml:space="preserve">. For example, </w:t>
      </w:r>
      <w:r w:rsidR="00E77BCD">
        <w:t xml:space="preserve">for </w:t>
      </w:r>
      <w:r w:rsidR="003C0002">
        <w:t>a</w:t>
      </w:r>
      <w:r w:rsidR="003C0002" w:rsidRPr="003C0002">
        <w:t xml:space="preserve"> </w:t>
      </w:r>
      <w:r w:rsidR="003C0002">
        <w:t>given</w:t>
      </w:r>
      <w:r w:rsidR="00E77BCD">
        <w:t xml:space="preserve"> HARQ process, UE does not expect to</w:t>
      </w:r>
      <w:r w:rsidR="003C0002">
        <w:t xml:space="preserve"> receive</w:t>
      </w:r>
      <w:r w:rsidR="00E77BCD">
        <w:t xml:space="preserve"> another PDSCH before the end of the expected </w:t>
      </w:r>
      <w:r w:rsidR="003C0002">
        <w:t xml:space="preserve">transmission of </w:t>
      </w:r>
      <w:r w:rsidR="00E77BCD">
        <w:t>HARQ-ACK</w:t>
      </w:r>
      <w:r w:rsidR="003C0002">
        <w:t xml:space="preserve"> for that HARQ process</w:t>
      </w:r>
      <w:r w:rsidR="00E77BCD">
        <w:t>.</w:t>
      </w:r>
      <w:r w:rsidR="00BE4550">
        <w:t xml:space="preserve"> The exact specification is quoted as following </w:t>
      </w:r>
      <w:r w:rsidR="003C0002">
        <w:t>[2]</w:t>
      </w:r>
      <w:r w:rsidR="00BE4550">
        <w:t>:</w:t>
      </w:r>
    </w:p>
    <w:tbl>
      <w:tblPr>
        <w:tblStyle w:val="ac"/>
        <w:tblW w:w="0" w:type="auto"/>
        <w:tblLook w:val="04A0" w:firstRow="1" w:lastRow="0" w:firstColumn="1" w:lastColumn="0" w:noHBand="0" w:noVBand="1"/>
      </w:tblPr>
      <w:tblGrid>
        <w:gridCol w:w="9629"/>
      </w:tblGrid>
      <w:tr w:rsidR="00BE4550" w14:paraId="30908DA7" w14:textId="77777777" w:rsidTr="00BE4550">
        <w:tc>
          <w:tcPr>
            <w:tcW w:w="9629" w:type="dxa"/>
          </w:tcPr>
          <w:p w14:paraId="093AD1D5" w14:textId="70065BDC" w:rsidR="00BE4550" w:rsidRPr="00C814EF" w:rsidRDefault="00BE4550" w:rsidP="003C77C1">
            <w:pPr>
              <w:overflowPunct/>
              <w:autoSpaceDE/>
              <w:autoSpaceDN/>
              <w:adjustRightInd/>
              <w:spacing w:after="180" w:line="240" w:lineRule="auto"/>
              <w:textAlignment w:val="auto"/>
              <w:rPr>
                <w:sz w:val="20"/>
                <w:lang w:eastAsia="en-US"/>
              </w:rPr>
            </w:pPr>
            <w:r w:rsidRPr="00BE4550">
              <w:rPr>
                <w:sz w:val="20"/>
                <w:lang w:eastAsia="en-US"/>
              </w:rPr>
              <w:t xml:space="preserve">A UE shall upon detection of a PDCCH with a configured DCI format 1_0, 1_1 or 1_2 decode the corresponding PDSCHs as indicated by that DCI. </w:t>
            </w:r>
            <w:r w:rsidRPr="00BE4550">
              <w:rPr>
                <w:rFonts w:eastAsia="等线"/>
                <w:color w:val="000000"/>
                <w:sz w:val="20"/>
                <w:lang w:eastAsia="en-US"/>
              </w:rPr>
              <w:t>For any HARQ process ID</w:t>
            </w:r>
            <w:r w:rsidRPr="00BE4550">
              <w:rPr>
                <w:rFonts w:eastAsia="等线" w:hint="eastAsia"/>
                <w:color w:val="000000"/>
                <w:sz w:val="20"/>
              </w:rPr>
              <w:t>(</w:t>
            </w:r>
            <w:r w:rsidRPr="00BE4550">
              <w:rPr>
                <w:rFonts w:eastAsia="等线"/>
                <w:color w:val="000000"/>
                <w:sz w:val="20"/>
                <w:lang w:eastAsia="en-US"/>
              </w:rPr>
              <w:t>s</w:t>
            </w:r>
            <w:r w:rsidRPr="00BE4550">
              <w:rPr>
                <w:rFonts w:eastAsia="等线" w:hint="eastAsia"/>
                <w:color w:val="000000"/>
                <w:sz w:val="20"/>
              </w:rPr>
              <w:t>)</w:t>
            </w:r>
            <w:r w:rsidRPr="00BE4550">
              <w:rPr>
                <w:rFonts w:eastAsia="等线"/>
                <w:color w:val="000000"/>
                <w:sz w:val="20"/>
                <w:lang w:eastAsia="en-US"/>
              </w:rPr>
              <w:t xml:space="preserve"> in a given scheduled cell, the UE is not expected to</w:t>
            </w:r>
            <w:r w:rsidRPr="00BE4550">
              <w:rPr>
                <w:rFonts w:eastAsia="等线" w:hint="eastAsia"/>
                <w:color w:val="000000"/>
                <w:sz w:val="20"/>
              </w:rPr>
              <w:t xml:space="preserve"> receive</w:t>
            </w:r>
            <w:r w:rsidRPr="00BE4550">
              <w:rPr>
                <w:rFonts w:eastAsia="等线"/>
                <w:color w:val="000000"/>
                <w:sz w:val="20"/>
                <w:lang w:eastAsia="en-US"/>
              </w:rPr>
              <w:t xml:space="preserve"> a P</w:t>
            </w:r>
            <w:r w:rsidRPr="00BE4550">
              <w:rPr>
                <w:rFonts w:eastAsia="等线" w:hint="eastAsia"/>
                <w:color w:val="000000"/>
                <w:sz w:val="20"/>
              </w:rPr>
              <w:t>D</w:t>
            </w:r>
            <w:r w:rsidRPr="00BE4550">
              <w:rPr>
                <w:rFonts w:eastAsia="等线"/>
                <w:color w:val="000000"/>
                <w:sz w:val="20"/>
                <w:lang w:eastAsia="en-US"/>
              </w:rPr>
              <w:t xml:space="preserve">SCH that overlaps in time with </w:t>
            </w:r>
            <w:r w:rsidRPr="00BE4550">
              <w:rPr>
                <w:rFonts w:eastAsia="等线" w:hint="eastAsia"/>
                <w:color w:val="000000"/>
                <w:sz w:val="20"/>
              </w:rPr>
              <w:t>another</w:t>
            </w:r>
            <w:r w:rsidRPr="00BE4550">
              <w:rPr>
                <w:rFonts w:eastAsia="等线"/>
                <w:color w:val="000000"/>
                <w:sz w:val="20"/>
                <w:lang w:eastAsia="en-US"/>
              </w:rPr>
              <w:t xml:space="preserve"> P</w:t>
            </w:r>
            <w:r w:rsidRPr="00BE4550">
              <w:rPr>
                <w:rFonts w:eastAsia="等线" w:hint="eastAsia"/>
                <w:color w:val="000000"/>
                <w:sz w:val="20"/>
              </w:rPr>
              <w:t>D</w:t>
            </w:r>
            <w:r w:rsidRPr="00BE4550">
              <w:rPr>
                <w:rFonts w:eastAsia="等线"/>
                <w:color w:val="000000"/>
                <w:sz w:val="20"/>
                <w:lang w:eastAsia="en-US"/>
              </w:rPr>
              <w:t>SCH.</w:t>
            </w:r>
            <w:r w:rsidRPr="00BE4550">
              <w:rPr>
                <w:rFonts w:eastAsia="等线" w:hint="eastAsia"/>
                <w:color w:val="000000"/>
                <w:sz w:val="20"/>
              </w:rPr>
              <w:t xml:space="preserve"> </w:t>
            </w:r>
            <w:r w:rsidRPr="00C814EF">
              <w:rPr>
                <w:sz w:val="20"/>
                <w:highlight w:val="yellow"/>
                <w:lang w:eastAsia="en-US"/>
              </w:rPr>
              <w:t xml:space="preserve">The UE is not expected to receive another PDSCH for a given HARQ process until after </w:t>
            </w:r>
            <w:bookmarkStart w:id="3" w:name="_Hlk71298508"/>
            <w:r w:rsidRPr="00C814EF">
              <w:rPr>
                <w:sz w:val="20"/>
                <w:highlight w:val="yellow"/>
                <w:lang w:eastAsia="en-US"/>
              </w:rPr>
              <w:t>the end of the expected transmission of HARQ-ACK for that HARQ process</w:t>
            </w:r>
            <w:bookmarkEnd w:id="3"/>
            <w:r w:rsidRPr="00C814EF">
              <w:rPr>
                <w:sz w:val="20"/>
                <w:highlight w:val="yellow"/>
                <w:lang w:eastAsia="en-US"/>
              </w:rPr>
              <w:t>, where the timing is given by Clause 9.2.3 of [6]</w:t>
            </w:r>
            <w:r w:rsidRPr="00BE4550">
              <w:rPr>
                <w:sz w:val="20"/>
                <w:lang w:eastAsia="en-US"/>
              </w:rPr>
              <w:t xml:space="preserve">. In a given scheduled cell, the UE is not expected to receive a </w:t>
            </w:r>
            <w:r w:rsidRPr="00BE4550">
              <w:rPr>
                <w:rFonts w:eastAsia="等线"/>
                <w:sz w:val="20"/>
                <w:lang w:eastAsia="en-US"/>
              </w:rPr>
              <w:t xml:space="preserve">first </w:t>
            </w:r>
            <w:r w:rsidRPr="00BE4550">
              <w:rPr>
                <w:sz w:val="20"/>
                <w:lang w:eastAsia="en-US"/>
              </w:rPr>
              <w:t xml:space="preserve">PDSCH and </w:t>
            </w:r>
            <w:r w:rsidRPr="00BE4550">
              <w:rPr>
                <w:rFonts w:eastAsia="等线"/>
                <w:sz w:val="20"/>
                <w:lang w:eastAsia="en-US"/>
              </w:rPr>
              <w:t>a second</w:t>
            </w:r>
            <w:r w:rsidRPr="00BE4550">
              <w:rPr>
                <w:sz w:val="20"/>
                <w:lang w:eastAsia="en-US"/>
              </w:rPr>
              <w:t xml:space="preserve"> PDSCH, </w:t>
            </w:r>
            <w:r w:rsidRPr="00BE4550">
              <w:rPr>
                <w:rFonts w:eastAsia="等线"/>
                <w:sz w:val="20"/>
                <w:lang w:eastAsia="en-US"/>
              </w:rPr>
              <w:t>starting later than the first PDSCH,</w:t>
            </w:r>
            <w:r w:rsidRPr="00BE4550">
              <w:rPr>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4550">
              <w:rPr>
                <w:noProof/>
                <w:color w:val="FF0000"/>
                <w:position w:val="-12"/>
                <w:sz w:val="20"/>
                <w:lang w:eastAsia="ko-KR"/>
              </w:rPr>
              <w:object w:dxaOrig="440" w:dyaOrig="360" w14:anchorId="27C6E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8" o:title=""/>
                </v:shape>
                <o:OLEObject Type="Embed" ProgID="Equation.DSMT4" ShapeID="_x0000_i1025" DrawAspect="Content" ObjectID="_1682262476" r:id="rId9"/>
              </w:object>
            </w:r>
            <w:r w:rsidRPr="00BE4550">
              <w:rPr>
                <w:sz w:val="20"/>
                <w:lang w:eastAsia="en-US"/>
              </w:rPr>
              <w:t xml:space="preserve">symbols [4] or a number of symbols indicated by </w:t>
            </w:r>
            <w:r w:rsidRPr="00BE4550">
              <w:rPr>
                <w:i/>
                <w:iCs/>
                <w:sz w:val="20"/>
                <w:lang w:eastAsia="en-US"/>
              </w:rPr>
              <w:t>subslotLengthForPUCCH-r16</w:t>
            </w:r>
            <w:r w:rsidRPr="00BE4550">
              <w:rPr>
                <w:sz w:val="20"/>
                <w:lang w:eastAsia="en-US"/>
              </w:rPr>
              <w:t xml:space="preserve"> if provided, and the HARQ-ACK for the two PDSCHs are associated with the HARQ-ACK codebook of the same priority. </w:t>
            </w:r>
            <w:r w:rsidRPr="00BE4550">
              <w:rPr>
                <w:sz w:val="20"/>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4550">
              <w:rPr>
                <w:sz w:val="20"/>
                <w:lang w:eastAsia="en-US"/>
              </w:rPr>
              <w:t>. For any two HARQ process IDs in a given scheduled cell, if the UE is scheduled to start receiving a first PDSCH starting in symbol</w:t>
            </w:r>
            <w:r w:rsidRPr="00BE4550">
              <w:rPr>
                <w:i/>
                <w:sz w:val="20"/>
                <w:lang w:eastAsia="en-US"/>
              </w:rPr>
              <w:t xml:space="preserve"> j </w:t>
            </w:r>
            <w:r w:rsidRPr="00BE4550">
              <w:rPr>
                <w:sz w:val="20"/>
                <w:lang w:eastAsia="en-US"/>
              </w:rPr>
              <w:t xml:space="preserve">by a PDCCH ending in symbol </w:t>
            </w:r>
            <w:proofErr w:type="spellStart"/>
            <w:r w:rsidRPr="00BE4550">
              <w:rPr>
                <w:i/>
                <w:sz w:val="20"/>
                <w:lang w:eastAsia="en-US"/>
              </w:rPr>
              <w:t>i</w:t>
            </w:r>
            <w:proofErr w:type="spellEnd"/>
            <w:r w:rsidRPr="00BE4550">
              <w:rPr>
                <w:sz w:val="20"/>
                <w:lang w:eastAsia="en-US"/>
              </w:rPr>
              <w:t xml:space="preserve">, the UE is not expected to be scheduled to receive a PDSCH starting earlier than the end of the first PDSCH with a PDCCH that ends </w:t>
            </w:r>
            <w:r w:rsidRPr="00BE4550">
              <w:rPr>
                <w:rFonts w:eastAsia="等线" w:hint="eastAsia"/>
                <w:sz w:val="20"/>
              </w:rPr>
              <w:t>later</w:t>
            </w:r>
            <w:r w:rsidRPr="00BE4550">
              <w:rPr>
                <w:sz w:val="20"/>
                <w:lang w:eastAsia="en-US"/>
              </w:rPr>
              <w:t xml:space="preserve"> than symbol </w:t>
            </w:r>
            <w:proofErr w:type="spellStart"/>
            <w:r w:rsidRPr="00BE4550">
              <w:rPr>
                <w:i/>
                <w:sz w:val="20"/>
                <w:lang w:eastAsia="en-US"/>
              </w:rPr>
              <w:t>i</w:t>
            </w:r>
            <w:proofErr w:type="spellEnd"/>
            <w:r w:rsidRPr="00BE4550">
              <w:rPr>
                <w:sz w:val="20"/>
                <w:lang w:eastAsia="en-US"/>
              </w:rPr>
              <w:t xml:space="preserve">. </w:t>
            </w:r>
            <w:r w:rsidRPr="003C77C1">
              <w:rPr>
                <w:sz w:val="20"/>
                <w:highlight w:val="cyan"/>
                <w:lang w:eastAsia="en-US"/>
              </w:rPr>
              <w:t xml:space="preserve">In a given scheduled cell, for any PDSCH corresponding to SI-RNTI, the UE is not expected to decode a re-transmission of an earlier PDSCH with a starting symbol less than </w:t>
            </w:r>
            <w:r w:rsidRPr="003C77C1">
              <w:rPr>
                <w:i/>
                <w:sz w:val="20"/>
                <w:highlight w:val="cyan"/>
                <w:lang w:eastAsia="en-US"/>
              </w:rPr>
              <w:t>N</w:t>
            </w:r>
            <w:r w:rsidRPr="003C77C1">
              <w:rPr>
                <w:sz w:val="20"/>
                <w:highlight w:val="cyan"/>
                <w:lang w:eastAsia="en-US"/>
              </w:rPr>
              <w:t xml:space="preserve"> symbols after the last symbol of that PDSCH, where the value of </w:t>
            </w:r>
            <w:r w:rsidRPr="003C77C1">
              <w:rPr>
                <w:i/>
                <w:sz w:val="20"/>
                <w:highlight w:val="cyan"/>
                <w:lang w:eastAsia="en-US"/>
              </w:rPr>
              <w:t>N</w:t>
            </w:r>
            <w:r w:rsidRPr="003C77C1">
              <w:rPr>
                <w:sz w:val="20"/>
                <w:highlight w:val="cyan"/>
                <w:lang w:eastAsia="en-US"/>
              </w:rPr>
              <w:t xml:space="preserve"> depends on the PDSCH s</w:t>
            </w:r>
            <w:r w:rsidRPr="003C77C1">
              <w:rPr>
                <w:rFonts w:eastAsia="等线"/>
                <w:sz w:val="20"/>
                <w:highlight w:val="cyan"/>
              </w:rPr>
              <w:t xml:space="preserve">ubcarrier spacing configuration </w:t>
            </w:r>
            <w:r w:rsidRPr="003C77C1">
              <w:rPr>
                <w:rFonts w:eastAsia="等线"/>
                <w:i/>
                <w:sz w:val="20"/>
                <w:highlight w:val="cyan"/>
              </w:rPr>
              <w:sym w:font="Symbol" w:char="F06D"/>
            </w:r>
            <w:r w:rsidRPr="003C77C1">
              <w:rPr>
                <w:rFonts w:eastAsia="等线"/>
                <w:i/>
                <w:sz w:val="20"/>
                <w:highlight w:val="cyan"/>
              </w:rPr>
              <w:t xml:space="preserve">, </w:t>
            </w:r>
            <w:r w:rsidRPr="003C77C1">
              <w:rPr>
                <w:rFonts w:eastAsia="等线"/>
                <w:sz w:val="20"/>
                <w:highlight w:val="cyan"/>
              </w:rPr>
              <w:t xml:space="preserve">with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=0</w:t>
            </w:r>
            <w:r w:rsidRPr="003C77C1">
              <w:rPr>
                <w:sz w:val="20"/>
                <w:highlight w:val="cyan"/>
                <w:lang w:eastAsia="en-US"/>
              </w:rPr>
              <w:t xml:space="preserve">,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 xml:space="preserve">=1, </w:t>
            </w:r>
            <w:r w:rsidRPr="003C77C1">
              <w:rPr>
                <w:rFonts w:eastAsia="等线"/>
                <w:i/>
                <w:sz w:val="20"/>
                <w:highlight w:val="cyan"/>
              </w:rPr>
              <w:t>N</w:t>
            </w:r>
            <w:r w:rsidRPr="003C77C1">
              <w:rPr>
                <w:rFonts w:eastAsia="等线"/>
                <w:sz w:val="20"/>
                <w:highlight w:val="cyan"/>
              </w:rPr>
              <w:t xml:space="preserve">=20 for </w:t>
            </w:r>
            <w:r w:rsidRPr="003C77C1">
              <w:rPr>
                <w:rFonts w:eastAsia="等线"/>
                <w:i/>
                <w:sz w:val="20"/>
                <w:highlight w:val="cyan"/>
              </w:rPr>
              <w:sym w:font="Symbol" w:char="F06D"/>
            </w:r>
            <w:r w:rsidRPr="003C77C1">
              <w:rPr>
                <w:rFonts w:eastAsia="等线"/>
                <w:sz w:val="20"/>
                <w:highlight w:val="cyan"/>
              </w:rPr>
              <w:t xml:space="preserve">=2, and </w:t>
            </w:r>
            <w:r w:rsidRPr="003C77C1">
              <w:rPr>
                <w:rFonts w:eastAsia="等线"/>
                <w:i/>
                <w:sz w:val="20"/>
                <w:highlight w:val="cyan"/>
              </w:rPr>
              <w:t>N</w:t>
            </w:r>
            <w:r w:rsidRPr="003C77C1">
              <w:rPr>
                <w:rFonts w:eastAsia="等线"/>
                <w:sz w:val="20"/>
                <w:highlight w:val="cyan"/>
              </w:rPr>
              <w:t xml:space="preserve">=24 for </w:t>
            </w:r>
            <w:r w:rsidRPr="003C77C1">
              <w:rPr>
                <w:rFonts w:eastAsia="等线"/>
                <w:i/>
                <w:sz w:val="20"/>
                <w:highlight w:val="cyan"/>
              </w:rPr>
              <w:sym w:font="Symbol" w:char="F06D"/>
            </w:r>
            <w:r w:rsidRPr="003C77C1">
              <w:rPr>
                <w:rFonts w:eastAsia="等线"/>
                <w:sz w:val="20"/>
                <w:highlight w:val="cyan"/>
              </w:rPr>
              <w:t>=3</w:t>
            </w:r>
            <w:r w:rsidRPr="00BE4550">
              <w:rPr>
                <w:sz w:val="20"/>
                <w:lang w:eastAsia="en-US"/>
              </w:rPr>
              <w:t>.</w:t>
            </w:r>
          </w:p>
        </w:tc>
      </w:tr>
    </w:tbl>
    <w:p w14:paraId="6903ECDE" w14:textId="2E3A9B60" w:rsidR="00BE4550" w:rsidRDefault="00BE4550" w:rsidP="00CD66BD"/>
    <w:p w14:paraId="2C9FA990" w14:textId="0C6A5AFB" w:rsidR="00D202B6" w:rsidRDefault="003C0002" w:rsidP="00CD66BD">
      <w:r>
        <w:rPr>
          <w:rFonts w:hint="eastAsia"/>
        </w:rPr>
        <w:t>F</w:t>
      </w:r>
      <w:r>
        <w:t xml:space="preserve">or multicast, different HARQ-ACK modes i.e. ACK/NACK, NACK only, were agreed to be supported. And it was also agreed to enable/disable HARQ feedback for multicast. Then if NACK only is supported, or HARQ </w:t>
      </w:r>
      <w:r>
        <w:lastRenderedPageBreak/>
        <w:t xml:space="preserve">feedback is disabled by RRC or DCI, then there may be no HARQ feedback for a given PDSCH of a HARQ process. </w:t>
      </w:r>
      <w:r w:rsidR="003570D0">
        <w:t>Then</w:t>
      </w:r>
      <w:r w:rsidR="003C77C1">
        <w:t xml:space="preserve"> the scheduling restriction of “until </w:t>
      </w:r>
      <w:r w:rsidR="003C77C1" w:rsidRPr="003C77C1">
        <w:t>the end of the expected transmission of HARQ-ACK for that HARQ process</w:t>
      </w:r>
      <w:r w:rsidR="003C77C1">
        <w:t>”</w:t>
      </w:r>
      <w:r w:rsidR="003570D0">
        <w:t xml:space="preserve"> </w:t>
      </w:r>
      <w:r w:rsidR="003C77C1">
        <w:t xml:space="preserve">is not applicable. Therefore, </w:t>
      </w:r>
      <w:r w:rsidR="003570D0">
        <w:t xml:space="preserve">new timeline for PDSCH scheduling </w:t>
      </w:r>
      <w:r w:rsidR="003C77C1">
        <w:t xml:space="preserve">with no HARQ feedback </w:t>
      </w:r>
      <w:r w:rsidR="003570D0">
        <w:t>is needed.</w:t>
      </w:r>
      <w:r w:rsidR="00624A94">
        <w:t xml:space="preserve"> </w:t>
      </w:r>
    </w:p>
    <w:p w14:paraId="19678A85" w14:textId="429F7705" w:rsidR="003C0002" w:rsidRDefault="00624A94" w:rsidP="00CD66BD">
      <w:r>
        <w:t xml:space="preserve">For NACK only feedback mode, since UE is </w:t>
      </w:r>
      <w:r w:rsidR="00183DB1">
        <w:t>configured/</w:t>
      </w:r>
      <w:r>
        <w:t xml:space="preserve">indicated with one PUCCH resource for NACK transmission, then </w:t>
      </w:r>
      <w:bookmarkStart w:id="4" w:name="_Hlk71299085"/>
      <w:r w:rsidRPr="00624A94">
        <w:t>the end of the expected transmission of HARQ-ACK for that HARQ process</w:t>
      </w:r>
      <w:r>
        <w:t xml:space="preserve"> can be interpreted as the end of the </w:t>
      </w:r>
      <w:r w:rsidR="00183DB1">
        <w:t xml:space="preserve">configured/indicated </w:t>
      </w:r>
      <w:r>
        <w:t>PUCCH resource for NACK</w:t>
      </w:r>
      <w:bookmarkEnd w:id="4"/>
      <w:r w:rsidR="003C77C1">
        <w:t xml:space="preserve"> even if NACK PUCCH is not transmitted when PDSCH is decoded correctly</w:t>
      </w:r>
      <w:r>
        <w:t xml:space="preserve">. </w:t>
      </w:r>
    </w:p>
    <w:p w14:paraId="59A0B694" w14:textId="75AB389E" w:rsidR="00624A94" w:rsidRDefault="00624A94" w:rsidP="00CD66BD">
      <w:r>
        <w:t>For the PDSCH with no HARQ feedback, if the HARQ feedback is disabled by RRC</w:t>
      </w:r>
      <w:r w:rsidR="00183DB1">
        <w:t xml:space="preserve">, </w:t>
      </w:r>
      <w:r>
        <w:t xml:space="preserve">there </w:t>
      </w:r>
      <w:r w:rsidR="00183DB1">
        <w:t>may be no</w:t>
      </w:r>
      <w:r>
        <w:t xml:space="preserve"> PDSCH to HARQ-ACK feedback timing indicator (i.e., k1) and PRI in the scheduling DCI, the </w:t>
      </w:r>
      <w:r w:rsidR="00183DB1">
        <w:t xml:space="preserve">scheduling restriction </w:t>
      </w:r>
      <w:r>
        <w:t>rule</w:t>
      </w:r>
      <w:r w:rsidR="00183DB1">
        <w:t xml:space="preserve"> f</w:t>
      </w:r>
      <w:r>
        <w:t>or</w:t>
      </w:r>
      <w:r w:rsidRPr="00C814EF">
        <w:t xml:space="preserve"> PDSCH corresponding to SI-RNTI </w:t>
      </w:r>
      <w:r w:rsidR="00183DB1">
        <w:t xml:space="preserve">in NR Rel-15/Rel16 </w:t>
      </w:r>
      <w:r w:rsidRPr="00C814EF">
        <w:t xml:space="preserve">can be a starting point, i.e. </w:t>
      </w:r>
      <w:r w:rsidR="00183DB1">
        <w:t>a</w:t>
      </w:r>
      <w:r w:rsidRPr="00C814EF">
        <w:t xml:space="preserve"> predefined</w:t>
      </w:r>
      <w:r w:rsidR="00183DB1">
        <w:t xml:space="preserve"> timeline is used</w:t>
      </w:r>
      <w:r w:rsidRPr="00C814EF">
        <w:t>.</w:t>
      </w:r>
      <w:r>
        <w:t xml:space="preserve"> If </w:t>
      </w:r>
      <w:r w:rsidR="00D25106">
        <w:t xml:space="preserve">the HARQ feedback is dynamically disabled by DCI, </w:t>
      </w:r>
      <w:r>
        <w:t xml:space="preserve">there are k1 and PRI indication in the scheduling DCI, </w:t>
      </w:r>
      <w:r w:rsidR="00B2357B" w:rsidRPr="00B2357B">
        <w:t xml:space="preserve">the end of the expected transmission of HARQ-ACK for that HARQ process can be interpreted as the end of the PUCCH resource </w:t>
      </w:r>
      <w:r w:rsidR="00B2357B">
        <w:t>indicated by PRI or the end of the slot</w:t>
      </w:r>
      <w:r w:rsidR="00D25106">
        <w:t>/sub-slot</w:t>
      </w:r>
      <w:r w:rsidR="00B2357B">
        <w:t xml:space="preserve"> indicated by k1</w:t>
      </w:r>
      <w:r w:rsidR="003C77C1">
        <w:t xml:space="preserve"> when HARQ feedback is disabled</w:t>
      </w:r>
      <w:r w:rsidR="00B2357B">
        <w:t>.</w:t>
      </w:r>
      <w:bookmarkStart w:id="5" w:name="_GoBack"/>
      <w:bookmarkEnd w:id="5"/>
    </w:p>
    <w:p w14:paraId="45FB55D3" w14:textId="0B2BCB9C" w:rsidR="0041376C" w:rsidRPr="00C814EF" w:rsidRDefault="0041376C" w:rsidP="00CD66BD">
      <w:pPr>
        <w:rPr>
          <w:b/>
          <w:color w:val="000000" w:themeColor="text1"/>
          <w:szCs w:val="22"/>
        </w:rPr>
      </w:pPr>
      <w:r w:rsidRPr="00C814EF">
        <w:rPr>
          <w:b/>
          <w:color w:val="000000" w:themeColor="text1"/>
          <w:szCs w:val="22"/>
        </w:rPr>
        <w:t>Proposal 1: For multicast PDSCH with NACK only feedback or PDSCH with no HARQ feedback, the PDSCH scheduling restriction for a given HARQ process need</w:t>
      </w:r>
      <w:r w:rsidR="00183DB1">
        <w:rPr>
          <w:b/>
          <w:color w:val="000000" w:themeColor="text1"/>
          <w:szCs w:val="22"/>
        </w:rPr>
        <w:t>s</w:t>
      </w:r>
      <w:r w:rsidRPr="00C814EF">
        <w:rPr>
          <w:b/>
          <w:color w:val="000000" w:themeColor="text1"/>
          <w:szCs w:val="22"/>
        </w:rPr>
        <w:t xml:space="preserve"> to </w:t>
      </w:r>
      <w:r w:rsidR="00183DB1">
        <w:rPr>
          <w:b/>
          <w:color w:val="000000" w:themeColor="text1"/>
          <w:szCs w:val="22"/>
        </w:rPr>
        <w:t xml:space="preserve">be </w:t>
      </w:r>
      <w:r w:rsidRPr="00C814EF">
        <w:rPr>
          <w:b/>
          <w:color w:val="000000" w:themeColor="text1"/>
          <w:szCs w:val="22"/>
        </w:rPr>
        <w:t>reconsidered.</w:t>
      </w:r>
    </w:p>
    <w:p w14:paraId="1662BD9E" w14:textId="77777777" w:rsidR="00DA44DE" w:rsidRDefault="00DA44DE" w:rsidP="00DA44DE">
      <w:pPr>
        <w:pStyle w:val="1"/>
        <w:jc w:val="left"/>
      </w:pPr>
      <w:r>
        <w:t>Conclusions</w:t>
      </w:r>
    </w:p>
    <w:p w14:paraId="651118C8" w14:textId="7C2FE1CC" w:rsidR="00DA44DE" w:rsidRDefault="00227685" w:rsidP="00227685">
      <w:pPr>
        <w:spacing w:afterLines="50" w:line="240" w:lineRule="auto"/>
      </w:pPr>
      <w:r w:rsidRPr="00227685">
        <w:t>In this contribution, we make discussions on the other issues for Rel-17 MBS</w:t>
      </w:r>
      <w:r>
        <w:t>, and</w:t>
      </w:r>
      <w:r w:rsidR="00DA44DE">
        <w:t xml:space="preserve"> we have the following </w:t>
      </w:r>
      <w:r w:rsidR="00DA44DE">
        <w:rPr>
          <w:rFonts w:hint="eastAsia"/>
        </w:rPr>
        <w:t>p</w:t>
      </w:r>
      <w:r w:rsidR="00561D9A">
        <w:t>roposal</w:t>
      </w:r>
      <w:r w:rsidR="00234D0A">
        <w:t>s</w:t>
      </w:r>
      <w:r w:rsidR="00C146A7">
        <w:t>:</w:t>
      </w:r>
    </w:p>
    <w:p w14:paraId="53F651DC" w14:textId="7CD3D2D6" w:rsidR="00852784" w:rsidRPr="00C814EF" w:rsidRDefault="00852784" w:rsidP="00C814EF">
      <w:pPr>
        <w:rPr>
          <w:b/>
          <w:color w:val="000000" w:themeColor="text1"/>
          <w:szCs w:val="22"/>
        </w:rPr>
      </w:pPr>
      <w:r w:rsidRPr="00D12E01">
        <w:rPr>
          <w:rFonts w:hint="eastAsia"/>
          <w:b/>
          <w:color w:val="000000" w:themeColor="text1"/>
          <w:szCs w:val="22"/>
        </w:rPr>
        <w:t>P</w:t>
      </w:r>
      <w:r w:rsidRPr="00D12E01">
        <w:rPr>
          <w:b/>
          <w:color w:val="000000" w:themeColor="text1"/>
          <w:szCs w:val="22"/>
        </w:rPr>
        <w:t>roposal 1: For multicast PDSCH with NACK only feedback or PDSCH with no HARQ feedback, the PDSCH scheduling restriction for a given HARQ process need</w:t>
      </w:r>
      <w:r>
        <w:rPr>
          <w:b/>
          <w:color w:val="000000" w:themeColor="text1"/>
          <w:szCs w:val="22"/>
        </w:rPr>
        <w:t>s</w:t>
      </w:r>
      <w:r w:rsidRPr="00D12E01">
        <w:rPr>
          <w:b/>
          <w:color w:val="000000" w:themeColor="text1"/>
          <w:szCs w:val="22"/>
        </w:rPr>
        <w:t xml:space="preserve"> to </w:t>
      </w:r>
      <w:r>
        <w:rPr>
          <w:b/>
          <w:color w:val="000000" w:themeColor="text1"/>
          <w:szCs w:val="22"/>
        </w:rPr>
        <w:t xml:space="preserve">be </w:t>
      </w:r>
      <w:r w:rsidRPr="00D12E01">
        <w:rPr>
          <w:b/>
          <w:color w:val="000000" w:themeColor="text1"/>
          <w:szCs w:val="22"/>
        </w:rPr>
        <w:t>reconsidered.</w:t>
      </w:r>
    </w:p>
    <w:p w14:paraId="513DE901" w14:textId="77777777" w:rsidR="00DA44DE" w:rsidRDefault="00DA44DE" w:rsidP="00DA44DE">
      <w:pPr>
        <w:pStyle w:val="1"/>
        <w:tabs>
          <w:tab w:val="left" w:pos="432"/>
        </w:tabs>
        <w:spacing w:before="180" w:line="240" w:lineRule="auto"/>
        <w:ind w:left="0" w:firstLine="0"/>
        <w:jc w:val="left"/>
      </w:pPr>
      <w:bookmarkStart w:id="6" w:name="_Toc502437832"/>
      <w:r>
        <w:t>Reference</w:t>
      </w:r>
    </w:p>
    <w:bookmarkEnd w:id="6"/>
    <w:p w14:paraId="1C22755B" w14:textId="3B34026A" w:rsidR="000C6F2E"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26779242" w14:textId="74801B1B" w:rsidR="00AA6E5C" w:rsidRDefault="0058604D" w:rsidP="00C814EF">
      <w:pPr>
        <w:spacing w:afterLines="50" w:line="240" w:lineRule="auto"/>
        <w:jc w:val="left"/>
      </w:pPr>
      <w:r>
        <w:t xml:space="preserve">[2] </w:t>
      </w:r>
      <w:r w:rsidR="003C0002" w:rsidRPr="003C0002">
        <w:t>TS 38.21</w:t>
      </w:r>
      <w:r w:rsidR="003C0002">
        <w:t>4</w:t>
      </w:r>
      <w:r w:rsidR="003C0002" w:rsidRPr="003C0002">
        <w:t>, Physical layer procedures for data, v16.</w:t>
      </w:r>
      <w:r w:rsidR="003C0002">
        <w:t>3</w:t>
      </w:r>
      <w:r w:rsidR="003C0002" w:rsidRPr="003C0002">
        <w:t>.0, 2020-</w:t>
      </w:r>
      <w:r w:rsidR="003C0002">
        <w:t>09</w:t>
      </w:r>
    </w:p>
    <w:p w14:paraId="0EC57CE3" w14:textId="77777777" w:rsidR="0073275A" w:rsidRDefault="0073275A" w:rsidP="0073275A">
      <w:pPr>
        <w:pStyle w:val="References"/>
        <w:numPr>
          <w:ilvl w:val="0"/>
          <w:numId w:val="0"/>
        </w:numPr>
        <w:tabs>
          <w:tab w:val="left" w:pos="420"/>
        </w:tabs>
        <w:rPr>
          <w:szCs w:val="20"/>
          <w:lang w:eastAsia="zh-CN"/>
        </w:rPr>
      </w:pPr>
      <w:bookmarkStart w:id="7" w:name="_Hlk54278675"/>
    </w:p>
    <w:p w14:paraId="4954D673" w14:textId="77777777" w:rsidR="0073275A" w:rsidRDefault="0073275A" w:rsidP="0073275A">
      <w:pPr>
        <w:rPr>
          <w:szCs w:val="22"/>
        </w:rPr>
      </w:pPr>
    </w:p>
    <w:bookmarkEnd w:id="7"/>
    <w:p w14:paraId="08C7AB5B" w14:textId="77777777" w:rsidR="0073275A" w:rsidRDefault="0073275A" w:rsidP="00C92AEA">
      <w:pPr>
        <w:spacing w:afterLines="50" w:line="240" w:lineRule="auto"/>
        <w:jc w:val="left"/>
      </w:pPr>
    </w:p>
    <w:sectPr w:rsidR="0073275A"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9AED5" w14:textId="77777777" w:rsidR="00C50C00" w:rsidRDefault="00C50C00">
      <w:pPr>
        <w:spacing w:after="0" w:line="240" w:lineRule="auto"/>
      </w:pPr>
      <w:r>
        <w:separator/>
      </w:r>
    </w:p>
  </w:endnote>
  <w:endnote w:type="continuationSeparator" w:id="0">
    <w:p w14:paraId="1BADDB6C" w14:textId="77777777" w:rsidR="00C50C00" w:rsidRDefault="00C50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2B7BF" w14:textId="77777777" w:rsidR="00C50C00" w:rsidRDefault="00C50C00">
      <w:pPr>
        <w:spacing w:after="0" w:line="240" w:lineRule="auto"/>
      </w:pPr>
      <w:r>
        <w:separator/>
      </w:r>
    </w:p>
  </w:footnote>
  <w:footnote w:type="continuationSeparator" w:id="0">
    <w:p w14:paraId="0E698E52" w14:textId="77777777" w:rsidR="00C50C00" w:rsidRDefault="00C50C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16D6C"/>
    <w:multiLevelType w:val="hybridMultilevel"/>
    <w:tmpl w:val="512A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8"/>
  </w:num>
  <w:num w:numId="4">
    <w:abstractNumId w:val="4"/>
  </w:num>
  <w:num w:numId="5">
    <w:abstractNumId w:val="10"/>
  </w:num>
  <w:num w:numId="6">
    <w:abstractNumId w:val="29"/>
  </w:num>
  <w:num w:numId="7">
    <w:abstractNumId w:val="24"/>
  </w:num>
  <w:num w:numId="8">
    <w:abstractNumId w:val="9"/>
  </w:num>
  <w:num w:numId="9">
    <w:abstractNumId w:val="22"/>
  </w:num>
  <w:num w:numId="10">
    <w:abstractNumId w:val="2"/>
  </w:num>
  <w:num w:numId="11">
    <w:abstractNumId w:val="1"/>
  </w:num>
  <w:num w:numId="12">
    <w:abstractNumId w:val="26"/>
  </w:num>
  <w:num w:numId="13">
    <w:abstractNumId w:val="1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0"/>
  </w:num>
  <w:num w:numId="18">
    <w:abstractNumId w:val="15"/>
  </w:num>
  <w:num w:numId="19">
    <w:abstractNumId w:val="32"/>
  </w:num>
  <w:num w:numId="20">
    <w:abstractNumId w:val="28"/>
  </w:num>
  <w:num w:numId="21">
    <w:abstractNumId w:val="25"/>
  </w:num>
  <w:num w:numId="22">
    <w:abstractNumId w:val="12"/>
  </w:num>
  <w:num w:numId="23">
    <w:abstractNumId w:val="21"/>
  </w:num>
  <w:num w:numId="24">
    <w:abstractNumId w:val="1"/>
  </w:num>
  <w:num w:numId="25">
    <w:abstractNumId w:val="8"/>
  </w:num>
  <w:num w:numId="26">
    <w:abstractNumId w:val="30"/>
  </w:num>
  <w:num w:numId="27">
    <w:abstractNumId w:val="33"/>
  </w:num>
  <w:num w:numId="28">
    <w:abstractNumId w:val="19"/>
  </w:num>
  <w:num w:numId="29">
    <w:abstractNumId w:val="1"/>
  </w:num>
  <w:num w:numId="30">
    <w:abstractNumId w:val="1"/>
  </w:num>
  <w:num w:numId="31">
    <w:abstractNumId w:val="6"/>
  </w:num>
  <w:num w:numId="32">
    <w:abstractNumId w:val="1"/>
  </w:num>
  <w:num w:numId="33">
    <w:abstractNumId w:val="5"/>
  </w:num>
  <w:num w:numId="34">
    <w:abstractNumId w:val="23"/>
  </w:num>
  <w:num w:numId="35">
    <w:abstractNumId w:val="31"/>
  </w:num>
  <w:num w:numId="36">
    <w:abstractNumId w:val="11"/>
  </w:num>
  <w:num w:numId="37">
    <w:abstractNumId w:val="1"/>
  </w:num>
  <w:num w:numId="38">
    <w:abstractNumId w:val="3"/>
  </w:num>
  <w:num w:numId="39">
    <w:abstractNumId w:val="27"/>
  </w:num>
  <w:num w:numId="40">
    <w:abstractNumId w:val="1"/>
  </w:num>
  <w:num w:numId="41">
    <w:abstractNumId w:val="1"/>
  </w:num>
  <w:num w:numId="42">
    <w:abstractNumId w:val="1"/>
  </w:num>
  <w:num w:numId="43">
    <w:abstractNumId w:val="17"/>
  </w:num>
  <w:num w:numId="44">
    <w:abstractNumId w:val="13"/>
    <w:lvlOverride w:ilvl="0">
      <w:startOverride w:val="1"/>
    </w:lvlOverride>
  </w:num>
  <w:num w:numId="45">
    <w:abstractNumId w:val="7"/>
  </w:num>
  <w:num w:numId="46">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B26"/>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A7D"/>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E2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D4"/>
    <w:rsid w:val="00086FB4"/>
    <w:rsid w:val="000874F6"/>
    <w:rsid w:val="00090031"/>
    <w:rsid w:val="000902B7"/>
    <w:rsid w:val="00090496"/>
    <w:rsid w:val="00090B25"/>
    <w:rsid w:val="00090CFA"/>
    <w:rsid w:val="00090DFC"/>
    <w:rsid w:val="00090F64"/>
    <w:rsid w:val="00091492"/>
    <w:rsid w:val="00091792"/>
    <w:rsid w:val="0009193A"/>
    <w:rsid w:val="00091A3E"/>
    <w:rsid w:val="0009216B"/>
    <w:rsid w:val="00093179"/>
    <w:rsid w:val="00093B7E"/>
    <w:rsid w:val="00093E4B"/>
    <w:rsid w:val="000951A9"/>
    <w:rsid w:val="0009547B"/>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36D"/>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6F2E"/>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7B9"/>
    <w:rsid w:val="000E3902"/>
    <w:rsid w:val="000E3AA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FB4"/>
    <w:rsid w:val="001014E0"/>
    <w:rsid w:val="001014E4"/>
    <w:rsid w:val="0010161E"/>
    <w:rsid w:val="0010165C"/>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5E2B"/>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4"/>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0D"/>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27E9"/>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AB5"/>
    <w:rsid w:val="00183C35"/>
    <w:rsid w:val="00183DB1"/>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4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4212"/>
    <w:rsid w:val="00214A8A"/>
    <w:rsid w:val="0021512C"/>
    <w:rsid w:val="002151BF"/>
    <w:rsid w:val="00215C6F"/>
    <w:rsid w:val="00215D47"/>
    <w:rsid w:val="00216119"/>
    <w:rsid w:val="00216353"/>
    <w:rsid w:val="002167C5"/>
    <w:rsid w:val="00216839"/>
    <w:rsid w:val="00216F5C"/>
    <w:rsid w:val="00217011"/>
    <w:rsid w:val="0021701D"/>
    <w:rsid w:val="002177B2"/>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6DCE"/>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182"/>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05D"/>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453"/>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132"/>
    <w:rsid w:val="00290744"/>
    <w:rsid w:val="002907AA"/>
    <w:rsid w:val="002907C3"/>
    <w:rsid w:val="00290B81"/>
    <w:rsid w:val="00290FFF"/>
    <w:rsid w:val="002918E6"/>
    <w:rsid w:val="002919E4"/>
    <w:rsid w:val="00291FBB"/>
    <w:rsid w:val="002920F3"/>
    <w:rsid w:val="002921DD"/>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6FE9"/>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1C"/>
    <w:rsid w:val="002E0642"/>
    <w:rsid w:val="002E173A"/>
    <w:rsid w:val="002E1E7C"/>
    <w:rsid w:val="002E23A5"/>
    <w:rsid w:val="002E26DA"/>
    <w:rsid w:val="002E2D88"/>
    <w:rsid w:val="002E3158"/>
    <w:rsid w:val="002E344E"/>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3F5"/>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654"/>
    <w:rsid w:val="00311886"/>
    <w:rsid w:val="00312AAE"/>
    <w:rsid w:val="00312EC3"/>
    <w:rsid w:val="003132E9"/>
    <w:rsid w:val="003135F1"/>
    <w:rsid w:val="0031366B"/>
    <w:rsid w:val="003139EA"/>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5F6"/>
    <w:rsid w:val="00336735"/>
    <w:rsid w:val="00336D7B"/>
    <w:rsid w:val="00336EFD"/>
    <w:rsid w:val="00337094"/>
    <w:rsid w:val="00337317"/>
    <w:rsid w:val="00337C96"/>
    <w:rsid w:val="00337E5C"/>
    <w:rsid w:val="00337EA0"/>
    <w:rsid w:val="003406DC"/>
    <w:rsid w:val="00341389"/>
    <w:rsid w:val="00341815"/>
    <w:rsid w:val="00341DA8"/>
    <w:rsid w:val="00342236"/>
    <w:rsid w:val="0034234E"/>
    <w:rsid w:val="003423A5"/>
    <w:rsid w:val="0034264A"/>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B7E"/>
    <w:rsid w:val="00356D53"/>
    <w:rsid w:val="003570D0"/>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3E03"/>
    <w:rsid w:val="003941DE"/>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002"/>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7C1"/>
    <w:rsid w:val="003C7823"/>
    <w:rsid w:val="003D0086"/>
    <w:rsid w:val="003D04B3"/>
    <w:rsid w:val="003D056F"/>
    <w:rsid w:val="003D0F7F"/>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B59"/>
    <w:rsid w:val="003F1C99"/>
    <w:rsid w:val="003F23D4"/>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76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8BD"/>
    <w:rsid w:val="00421E3F"/>
    <w:rsid w:val="00422199"/>
    <w:rsid w:val="00422844"/>
    <w:rsid w:val="00422EE5"/>
    <w:rsid w:val="004233D3"/>
    <w:rsid w:val="0042357C"/>
    <w:rsid w:val="00423D7C"/>
    <w:rsid w:val="004246BC"/>
    <w:rsid w:val="00424D95"/>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CC2"/>
    <w:rsid w:val="00432D39"/>
    <w:rsid w:val="00432ECC"/>
    <w:rsid w:val="004332E8"/>
    <w:rsid w:val="004333A4"/>
    <w:rsid w:val="004333B9"/>
    <w:rsid w:val="0043378D"/>
    <w:rsid w:val="00433A36"/>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308"/>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581"/>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CB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364"/>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149"/>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A3B"/>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A06"/>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3A9B"/>
    <w:rsid w:val="005B421A"/>
    <w:rsid w:val="005B4B1F"/>
    <w:rsid w:val="005B4D06"/>
    <w:rsid w:val="005B587D"/>
    <w:rsid w:val="005B5F88"/>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965"/>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4EAD"/>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0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A94"/>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2E0"/>
    <w:rsid w:val="00636367"/>
    <w:rsid w:val="006363CB"/>
    <w:rsid w:val="006364B5"/>
    <w:rsid w:val="00637A4C"/>
    <w:rsid w:val="00637C07"/>
    <w:rsid w:val="00637F63"/>
    <w:rsid w:val="00637FBF"/>
    <w:rsid w:val="006400AC"/>
    <w:rsid w:val="006401B4"/>
    <w:rsid w:val="006408A4"/>
    <w:rsid w:val="0064188D"/>
    <w:rsid w:val="0064242A"/>
    <w:rsid w:val="00642689"/>
    <w:rsid w:val="0064298A"/>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6D5E"/>
    <w:rsid w:val="006672D8"/>
    <w:rsid w:val="0066755E"/>
    <w:rsid w:val="00667C0A"/>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E80"/>
    <w:rsid w:val="00677265"/>
    <w:rsid w:val="006776C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0DE"/>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8FC"/>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34C"/>
    <w:rsid w:val="007279D2"/>
    <w:rsid w:val="00730030"/>
    <w:rsid w:val="00730961"/>
    <w:rsid w:val="00730C64"/>
    <w:rsid w:val="0073133C"/>
    <w:rsid w:val="00731729"/>
    <w:rsid w:val="00731803"/>
    <w:rsid w:val="00731B50"/>
    <w:rsid w:val="00731D49"/>
    <w:rsid w:val="00732162"/>
    <w:rsid w:val="0073275A"/>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19A"/>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C98"/>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642"/>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942"/>
    <w:rsid w:val="00781CFD"/>
    <w:rsid w:val="00781EF6"/>
    <w:rsid w:val="00781F75"/>
    <w:rsid w:val="0078200C"/>
    <w:rsid w:val="00782972"/>
    <w:rsid w:val="00783363"/>
    <w:rsid w:val="007835CC"/>
    <w:rsid w:val="007844F7"/>
    <w:rsid w:val="00784743"/>
    <w:rsid w:val="0078491E"/>
    <w:rsid w:val="00784DAC"/>
    <w:rsid w:val="00784E84"/>
    <w:rsid w:val="00784FFD"/>
    <w:rsid w:val="00785135"/>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1F02"/>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632A"/>
    <w:rsid w:val="007A6511"/>
    <w:rsid w:val="007A6D03"/>
    <w:rsid w:val="007A7109"/>
    <w:rsid w:val="007A734A"/>
    <w:rsid w:val="007A7385"/>
    <w:rsid w:val="007A75C2"/>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30A7"/>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15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1FB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001"/>
    <w:rsid w:val="00805B9D"/>
    <w:rsid w:val="00805BA7"/>
    <w:rsid w:val="00805C4D"/>
    <w:rsid w:val="00805E88"/>
    <w:rsid w:val="00805F4B"/>
    <w:rsid w:val="008064C0"/>
    <w:rsid w:val="00806A6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181"/>
    <w:rsid w:val="0084424D"/>
    <w:rsid w:val="00844311"/>
    <w:rsid w:val="0084444F"/>
    <w:rsid w:val="00844BEF"/>
    <w:rsid w:val="00844DB8"/>
    <w:rsid w:val="00844E7D"/>
    <w:rsid w:val="0084518F"/>
    <w:rsid w:val="00845CA2"/>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784"/>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162"/>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67C"/>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663"/>
    <w:rsid w:val="00923D71"/>
    <w:rsid w:val="00924C33"/>
    <w:rsid w:val="00924C95"/>
    <w:rsid w:val="00924CFA"/>
    <w:rsid w:val="00924F61"/>
    <w:rsid w:val="00925037"/>
    <w:rsid w:val="00925D43"/>
    <w:rsid w:val="00925D7B"/>
    <w:rsid w:val="00925DD0"/>
    <w:rsid w:val="00926C4E"/>
    <w:rsid w:val="00926ED1"/>
    <w:rsid w:val="009278CD"/>
    <w:rsid w:val="00927CC2"/>
    <w:rsid w:val="0093008F"/>
    <w:rsid w:val="009300E5"/>
    <w:rsid w:val="009306F7"/>
    <w:rsid w:val="00930C1C"/>
    <w:rsid w:val="00931428"/>
    <w:rsid w:val="009321DF"/>
    <w:rsid w:val="0093248C"/>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2DC"/>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A59"/>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35F"/>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7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0DE"/>
    <w:rsid w:val="009A43B5"/>
    <w:rsid w:val="009A43B6"/>
    <w:rsid w:val="009A5199"/>
    <w:rsid w:val="009A5709"/>
    <w:rsid w:val="009A58B1"/>
    <w:rsid w:val="009A5901"/>
    <w:rsid w:val="009A5A4A"/>
    <w:rsid w:val="009A6C4C"/>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093"/>
    <w:rsid w:val="009C4699"/>
    <w:rsid w:val="009C477B"/>
    <w:rsid w:val="009C4AC7"/>
    <w:rsid w:val="009C4CD4"/>
    <w:rsid w:val="009C4F32"/>
    <w:rsid w:val="009C58B5"/>
    <w:rsid w:val="009C5952"/>
    <w:rsid w:val="009C5D2F"/>
    <w:rsid w:val="009C5E49"/>
    <w:rsid w:val="009C5F69"/>
    <w:rsid w:val="009C6257"/>
    <w:rsid w:val="009C692F"/>
    <w:rsid w:val="009C6B2A"/>
    <w:rsid w:val="009C6C22"/>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A84"/>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737"/>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283"/>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46E"/>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1554"/>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17A"/>
    <w:rsid w:val="00AA0245"/>
    <w:rsid w:val="00AA02FB"/>
    <w:rsid w:val="00AA03B9"/>
    <w:rsid w:val="00AA05A8"/>
    <w:rsid w:val="00AA08B1"/>
    <w:rsid w:val="00AA0C4B"/>
    <w:rsid w:val="00AA104D"/>
    <w:rsid w:val="00AA13D9"/>
    <w:rsid w:val="00AA1505"/>
    <w:rsid w:val="00AA1629"/>
    <w:rsid w:val="00AA1831"/>
    <w:rsid w:val="00AA1855"/>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6E5C"/>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746"/>
    <w:rsid w:val="00AB2AE1"/>
    <w:rsid w:val="00AB2C75"/>
    <w:rsid w:val="00AB2EC6"/>
    <w:rsid w:val="00AB336C"/>
    <w:rsid w:val="00AB3E97"/>
    <w:rsid w:val="00AB4074"/>
    <w:rsid w:val="00AB4463"/>
    <w:rsid w:val="00AB463A"/>
    <w:rsid w:val="00AB4AB3"/>
    <w:rsid w:val="00AB4C78"/>
    <w:rsid w:val="00AB4FA1"/>
    <w:rsid w:val="00AB5051"/>
    <w:rsid w:val="00AB578E"/>
    <w:rsid w:val="00AB58BC"/>
    <w:rsid w:val="00AB58F3"/>
    <w:rsid w:val="00AB6065"/>
    <w:rsid w:val="00AB6388"/>
    <w:rsid w:val="00AB6C4A"/>
    <w:rsid w:val="00AB6DF8"/>
    <w:rsid w:val="00AB72C2"/>
    <w:rsid w:val="00AB7651"/>
    <w:rsid w:val="00AC0313"/>
    <w:rsid w:val="00AC09AB"/>
    <w:rsid w:val="00AC117A"/>
    <w:rsid w:val="00AC1184"/>
    <w:rsid w:val="00AC1F86"/>
    <w:rsid w:val="00AC2882"/>
    <w:rsid w:val="00AC29AA"/>
    <w:rsid w:val="00AC3043"/>
    <w:rsid w:val="00AC315B"/>
    <w:rsid w:val="00AC37DD"/>
    <w:rsid w:val="00AC382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CE7"/>
    <w:rsid w:val="00AC7E76"/>
    <w:rsid w:val="00AD01D0"/>
    <w:rsid w:val="00AD0620"/>
    <w:rsid w:val="00AD0837"/>
    <w:rsid w:val="00AD0B6D"/>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2A"/>
    <w:rsid w:val="00AE4A82"/>
    <w:rsid w:val="00AE57A3"/>
    <w:rsid w:val="00AE5D8D"/>
    <w:rsid w:val="00AE60E4"/>
    <w:rsid w:val="00AE60E6"/>
    <w:rsid w:val="00AE62CF"/>
    <w:rsid w:val="00AE63A2"/>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6FD8"/>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57B"/>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701"/>
    <w:rsid w:val="00B45935"/>
    <w:rsid w:val="00B460AA"/>
    <w:rsid w:val="00B4649D"/>
    <w:rsid w:val="00B464E0"/>
    <w:rsid w:val="00B4656D"/>
    <w:rsid w:val="00B470B2"/>
    <w:rsid w:val="00B47551"/>
    <w:rsid w:val="00B4766A"/>
    <w:rsid w:val="00B47AFE"/>
    <w:rsid w:val="00B47B8F"/>
    <w:rsid w:val="00B47F94"/>
    <w:rsid w:val="00B50742"/>
    <w:rsid w:val="00B5098D"/>
    <w:rsid w:val="00B51B43"/>
    <w:rsid w:val="00B51C0E"/>
    <w:rsid w:val="00B52F5D"/>
    <w:rsid w:val="00B53017"/>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A39"/>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68C6"/>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84E"/>
    <w:rsid w:val="00BA3B74"/>
    <w:rsid w:val="00BA5099"/>
    <w:rsid w:val="00BA59BB"/>
    <w:rsid w:val="00BA59DE"/>
    <w:rsid w:val="00BA5CA9"/>
    <w:rsid w:val="00BA5F12"/>
    <w:rsid w:val="00BA62B9"/>
    <w:rsid w:val="00BA6BDB"/>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550"/>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03"/>
    <w:rsid w:val="00BF4F32"/>
    <w:rsid w:val="00BF522B"/>
    <w:rsid w:val="00BF5458"/>
    <w:rsid w:val="00BF5472"/>
    <w:rsid w:val="00BF5B3F"/>
    <w:rsid w:val="00BF60DE"/>
    <w:rsid w:val="00BF6381"/>
    <w:rsid w:val="00BF6BDA"/>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2B1"/>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D67"/>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68B"/>
    <w:rsid w:val="00C428B8"/>
    <w:rsid w:val="00C428C1"/>
    <w:rsid w:val="00C4341E"/>
    <w:rsid w:val="00C43888"/>
    <w:rsid w:val="00C43D5E"/>
    <w:rsid w:val="00C4423C"/>
    <w:rsid w:val="00C44584"/>
    <w:rsid w:val="00C44B68"/>
    <w:rsid w:val="00C452B8"/>
    <w:rsid w:val="00C45462"/>
    <w:rsid w:val="00C45645"/>
    <w:rsid w:val="00C458C0"/>
    <w:rsid w:val="00C45C92"/>
    <w:rsid w:val="00C45E7F"/>
    <w:rsid w:val="00C4681B"/>
    <w:rsid w:val="00C469A2"/>
    <w:rsid w:val="00C46B10"/>
    <w:rsid w:val="00C46D23"/>
    <w:rsid w:val="00C46E28"/>
    <w:rsid w:val="00C4711B"/>
    <w:rsid w:val="00C47210"/>
    <w:rsid w:val="00C4742D"/>
    <w:rsid w:val="00C478A7"/>
    <w:rsid w:val="00C47B36"/>
    <w:rsid w:val="00C47E03"/>
    <w:rsid w:val="00C507E5"/>
    <w:rsid w:val="00C50ABB"/>
    <w:rsid w:val="00C50C00"/>
    <w:rsid w:val="00C50F40"/>
    <w:rsid w:val="00C5114A"/>
    <w:rsid w:val="00C51E97"/>
    <w:rsid w:val="00C521DE"/>
    <w:rsid w:val="00C528A6"/>
    <w:rsid w:val="00C52976"/>
    <w:rsid w:val="00C5331D"/>
    <w:rsid w:val="00C5358E"/>
    <w:rsid w:val="00C53F41"/>
    <w:rsid w:val="00C54056"/>
    <w:rsid w:val="00C54699"/>
    <w:rsid w:val="00C54B22"/>
    <w:rsid w:val="00C55348"/>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A92"/>
    <w:rsid w:val="00C71CDE"/>
    <w:rsid w:val="00C71F22"/>
    <w:rsid w:val="00C723D1"/>
    <w:rsid w:val="00C724E6"/>
    <w:rsid w:val="00C72A43"/>
    <w:rsid w:val="00C72E2D"/>
    <w:rsid w:val="00C72E8C"/>
    <w:rsid w:val="00C72EBD"/>
    <w:rsid w:val="00C72FE8"/>
    <w:rsid w:val="00C73187"/>
    <w:rsid w:val="00C731C2"/>
    <w:rsid w:val="00C73525"/>
    <w:rsid w:val="00C7363A"/>
    <w:rsid w:val="00C743B1"/>
    <w:rsid w:val="00C74B7A"/>
    <w:rsid w:val="00C74B9B"/>
    <w:rsid w:val="00C7505D"/>
    <w:rsid w:val="00C75068"/>
    <w:rsid w:val="00C75235"/>
    <w:rsid w:val="00C754AB"/>
    <w:rsid w:val="00C7563D"/>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4EF"/>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82F"/>
    <w:rsid w:val="00CA5A2D"/>
    <w:rsid w:val="00CA609A"/>
    <w:rsid w:val="00CA60A5"/>
    <w:rsid w:val="00CA6281"/>
    <w:rsid w:val="00CA62C6"/>
    <w:rsid w:val="00CA68C1"/>
    <w:rsid w:val="00CA6F31"/>
    <w:rsid w:val="00CA7533"/>
    <w:rsid w:val="00CA7693"/>
    <w:rsid w:val="00CA7A23"/>
    <w:rsid w:val="00CA7BA1"/>
    <w:rsid w:val="00CB017D"/>
    <w:rsid w:val="00CB0198"/>
    <w:rsid w:val="00CB0596"/>
    <w:rsid w:val="00CB17AC"/>
    <w:rsid w:val="00CB1CF3"/>
    <w:rsid w:val="00CB25C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2B0"/>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2B6"/>
    <w:rsid w:val="00D20549"/>
    <w:rsid w:val="00D206CF"/>
    <w:rsid w:val="00D20E67"/>
    <w:rsid w:val="00D21E5F"/>
    <w:rsid w:val="00D22F16"/>
    <w:rsid w:val="00D23208"/>
    <w:rsid w:val="00D235E6"/>
    <w:rsid w:val="00D23F87"/>
    <w:rsid w:val="00D24F8A"/>
    <w:rsid w:val="00D25106"/>
    <w:rsid w:val="00D251A1"/>
    <w:rsid w:val="00D251B1"/>
    <w:rsid w:val="00D25372"/>
    <w:rsid w:val="00D255F3"/>
    <w:rsid w:val="00D25652"/>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ADF"/>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6A3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9A5"/>
    <w:rsid w:val="00D80CB5"/>
    <w:rsid w:val="00D81B87"/>
    <w:rsid w:val="00D81E3D"/>
    <w:rsid w:val="00D82935"/>
    <w:rsid w:val="00D82EA1"/>
    <w:rsid w:val="00D830E2"/>
    <w:rsid w:val="00D83168"/>
    <w:rsid w:val="00D8417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AEC"/>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0F"/>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0D5"/>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468"/>
    <w:rsid w:val="00E767CD"/>
    <w:rsid w:val="00E7692D"/>
    <w:rsid w:val="00E7697B"/>
    <w:rsid w:val="00E769A4"/>
    <w:rsid w:val="00E769B8"/>
    <w:rsid w:val="00E76E39"/>
    <w:rsid w:val="00E76F80"/>
    <w:rsid w:val="00E7732E"/>
    <w:rsid w:val="00E77BCD"/>
    <w:rsid w:val="00E77BF9"/>
    <w:rsid w:val="00E809F6"/>
    <w:rsid w:val="00E80CBE"/>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294"/>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AA1"/>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633"/>
    <w:rsid w:val="00F058AE"/>
    <w:rsid w:val="00F05A04"/>
    <w:rsid w:val="00F060B6"/>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67F6"/>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239"/>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af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9"/>
    <w:locked/>
    <w:rsid w:val="0073275A"/>
    <w:rPr>
      <w:rFonts w:ascii="Times New Roman" w:hAnsi="Times New Roman"/>
      <w:i/>
      <w:iCs/>
      <w:color w:val="44546A" w:themeColor="text2"/>
      <w:sz w:val="18"/>
      <w:szCs w:val="18"/>
      <w:lang w:val="en-GB"/>
    </w:rPr>
  </w:style>
  <w:style w:type="paragraph" w:customStyle="1" w:styleId="References">
    <w:name w:val="References"/>
    <w:basedOn w:val="a"/>
    <w:rsid w:val="0073275A"/>
    <w:pPr>
      <w:numPr>
        <w:numId w:val="44"/>
      </w:numPr>
      <w:overflowPunct/>
      <w:adjustRightInd/>
      <w:snapToGrid w:val="0"/>
      <w:spacing w:after="60" w:line="240" w:lineRule="auto"/>
      <w:textAlignment w:val="auto"/>
    </w:pPr>
    <w:rPr>
      <w:sz w:val="20"/>
      <w:szCs w:val="16"/>
      <w:lang w:val="en-US" w:eastAsia="en-US"/>
    </w:rPr>
  </w:style>
  <w:style w:type="character" w:customStyle="1" w:styleId="B10">
    <w:name w:val="B1 (文字)"/>
    <w:qFormat/>
    <w:locked/>
    <w:rsid w:val="0073275A"/>
    <w:rPr>
      <w:rFonts w:ascii="Times New Roman" w:eastAsia="MS Mincho" w:hAnsi="Times New Roman"/>
      <w:lang w:val="en-GB" w:eastAsia="en-US"/>
    </w:rPr>
  </w:style>
  <w:style w:type="character" w:styleId="afb">
    <w:name w:val="Emphasis"/>
    <w:basedOn w:val="a0"/>
    <w:uiPriority w:val="20"/>
    <w:qFormat/>
    <w:rsid w:val="007327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9259">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8862642">
      <w:bodyDiv w:val="1"/>
      <w:marLeft w:val="0"/>
      <w:marRight w:val="0"/>
      <w:marTop w:val="0"/>
      <w:marBottom w:val="0"/>
      <w:divBdr>
        <w:top w:val="none" w:sz="0" w:space="0" w:color="auto"/>
        <w:left w:val="none" w:sz="0" w:space="0" w:color="auto"/>
        <w:bottom w:val="none" w:sz="0" w:space="0" w:color="auto"/>
        <w:right w:val="none" w:sz="0" w:space="0" w:color="auto"/>
      </w:divBdr>
    </w:div>
    <w:div w:id="44519716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932890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304488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4345">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1E7D2-9F1C-4319-9D88-07706DCEB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李娜-5G</cp:lastModifiedBy>
  <cp:revision>2</cp:revision>
  <cp:lastPrinted>2018-04-04T09:40:00Z</cp:lastPrinted>
  <dcterms:created xsi:type="dcterms:W3CDTF">2021-05-11T10:16:00Z</dcterms:created>
  <dcterms:modified xsi:type="dcterms:W3CDTF">2021-05-11T10:16:00Z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